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8D" w:rsidRPr="00FB1590" w:rsidRDefault="00FB1590">
      <w:pPr>
        <w:rPr>
          <w:b/>
          <w:sz w:val="32"/>
          <w:szCs w:val="32"/>
        </w:rPr>
      </w:pPr>
      <w:bookmarkStart w:id="0" w:name="_GoBack"/>
      <w:bookmarkEnd w:id="0"/>
      <w:r w:rsidRPr="00FB1590">
        <w:rPr>
          <w:b/>
          <w:sz w:val="32"/>
          <w:szCs w:val="32"/>
        </w:rPr>
        <w:t>LONDON AMBULANCE SERVICE BOARD MEETING – SEPTEMBER 30, 2014</w:t>
      </w:r>
    </w:p>
    <w:p w:rsidR="00FB1590" w:rsidRPr="00FB1590" w:rsidRDefault="00FB1590">
      <w:pPr>
        <w:rPr>
          <w:b/>
        </w:rPr>
      </w:pPr>
    </w:p>
    <w:p w:rsidR="00FB1590" w:rsidRDefault="00FB1590">
      <w:pPr>
        <w:rPr>
          <w:b/>
        </w:rPr>
      </w:pPr>
      <w:r w:rsidRPr="00FB1590">
        <w:rPr>
          <w:b/>
        </w:rPr>
        <w:t>PATIENTS’ FORUM REPORT – MALCOLM ALEXANDER</w:t>
      </w:r>
    </w:p>
    <w:p w:rsidR="00FB1590" w:rsidRDefault="00FB1590">
      <w:pPr>
        <w:rPr>
          <w:b/>
        </w:rPr>
      </w:pPr>
    </w:p>
    <w:p w:rsidR="00FB1590" w:rsidRDefault="00FB1590" w:rsidP="00FB15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Presentation by two nurses from the South London 111 service – Beckenham (run by the LAS)</w:t>
      </w:r>
    </w:p>
    <w:p w:rsidR="00FB1590" w:rsidRDefault="00FB1590" w:rsidP="00FB1590">
      <w:pPr>
        <w:pStyle w:val="ListParagraph"/>
        <w:rPr>
          <w:b/>
        </w:rPr>
      </w:pPr>
    </w:p>
    <w:p w:rsidR="00FB1590" w:rsidRPr="009B0B4A" w:rsidRDefault="00FB1590" w:rsidP="00FB1590">
      <w:pPr>
        <w:pStyle w:val="ListParagraph"/>
        <w:numPr>
          <w:ilvl w:val="0"/>
          <w:numId w:val="2"/>
        </w:numPr>
      </w:pPr>
      <w:r w:rsidRPr="009B0B4A">
        <w:t>111 pays nurses (clinical advisors) better than NHS Direct and the worki</w:t>
      </w:r>
      <w:r w:rsidR="004527F9">
        <w:t xml:space="preserve">ng conditions and atmosphere are </w:t>
      </w:r>
      <w:r w:rsidRPr="009B0B4A">
        <w:t>much better</w:t>
      </w:r>
      <w:r w:rsidR="004527F9">
        <w:t xml:space="preserve"> than NHS</w:t>
      </w:r>
      <w:r w:rsidR="00FE03D6" w:rsidRPr="009B0B4A">
        <w:t>D</w:t>
      </w:r>
      <w:r w:rsidRPr="009B0B4A">
        <w:t xml:space="preserve">. </w:t>
      </w:r>
    </w:p>
    <w:p w:rsidR="00FB1590" w:rsidRPr="009B0B4A" w:rsidRDefault="00FB1590" w:rsidP="00FB1590">
      <w:pPr>
        <w:pStyle w:val="ListParagraph"/>
        <w:numPr>
          <w:ilvl w:val="0"/>
          <w:numId w:val="2"/>
        </w:numPr>
      </w:pPr>
      <w:r w:rsidRPr="009B0B4A">
        <w:t>High number of agency clinical advisers</w:t>
      </w:r>
    </w:p>
    <w:p w:rsidR="00FB1590" w:rsidRPr="009B0B4A" w:rsidRDefault="00FB1590" w:rsidP="00FB1590">
      <w:pPr>
        <w:pStyle w:val="ListParagraph"/>
        <w:numPr>
          <w:ilvl w:val="0"/>
          <w:numId w:val="2"/>
        </w:numPr>
      </w:pPr>
      <w:r w:rsidRPr="009B0B4A">
        <w:t xml:space="preserve">Use </w:t>
      </w:r>
      <w:r w:rsidR="004527F9">
        <w:t xml:space="preserve">the </w:t>
      </w:r>
      <w:r w:rsidRPr="009B0B4A">
        <w:t xml:space="preserve">NHS </w:t>
      </w:r>
      <w:r w:rsidR="00B21AB8" w:rsidRPr="009B0B4A">
        <w:t>Pathways algorithm</w:t>
      </w:r>
      <w:r w:rsidR="004527F9" w:rsidRPr="009B0B4A">
        <w:t xml:space="preserve"> </w:t>
      </w:r>
      <w:r w:rsidRPr="009B0B4A">
        <w:t>to identify clinical conditions in patients who phone 111. They system works well for call-handlers</w:t>
      </w:r>
    </w:p>
    <w:p w:rsidR="00FB1590" w:rsidRPr="009B0B4A" w:rsidRDefault="00FB1590" w:rsidP="00FB1590">
      <w:pPr>
        <w:pStyle w:val="ListParagraph"/>
        <w:numPr>
          <w:ilvl w:val="0"/>
          <w:numId w:val="2"/>
        </w:numPr>
      </w:pPr>
      <w:r w:rsidRPr="009B0B4A">
        <w:t>Lowest transfer rate to LAS ambulances in London (out of 11 x 111 services</w:t>
      </w:r>
    </w:p>
    <w:p w:rsidR="00FB1590" w:rsidRPr="009B0B4A" w:rsidRDefault="00FB1590" w:rsidP="00FB1590">
      <w:pPr>
        <w:pStyle w:val="ListParagraph"/>
        <w:numPr>
          <w:ilvl w:val="0"/>
          <w:numId w:val="2"/>
        </w:numPr>
      </w:pPr>
      <w:r w:rsidRPr="009B0B4A">
        <w:t>Service is poorly publicised</w:t>
      </w:r>
      <w:r w:rsidR="004527F9">
        <w:t>,</w:t>
      </w:r>
      <w:r w:rsidRPr="009B0B4A">
        <w:t xml:space="preserve"> but South London CCGs are hoping to advertise the service in the future</w:t>
      </w:r>
    </w:p>
    <w:p w:rsidR="00FB1590" w:rsidRPr="009B0B4A" w:rsidRDefault="00FB1590" w:rsidP="00FB1590">
      <w:pPr>
        <w:pStyle w:val="ListParagraph"/>
        <w:numPr>
          <w:ilvl w:val="0"/>
          <w:numId w:val="2"/>
        </w:numPr>
      </w:pPr>
      <w:r w:rsidRPr="009B0B4A">
        <w:t>Need to better integrate 111, the Director</w:t>
      </w:r>
      <w:r w:rsidR="004527F9">
        <w:t>y</w:t>
      </w:r>
      <w:r w:rsidRPr="009B0B4A">
        <w:t xml:space="preserve"> of Services</w:t>
      </w:r>
      <w:r w:rsidR="004527F9">
        <w:t xml:space="preserve"> (DoS)</w:t>
      </w:r>
      <w:r w:rsidRPr="009B0B4A">
        <w:t xml:space="preserve">, </w:t>
      </w:r>
      <w:r w:rsidR="004527F9">
        <w:t>‘</w:t>
      </w:r>
      <w:r w:rsidRPr="009B0B4A">
        <w:t>out of hours</w:t>
      </w:r>
      <w:r w:rsidR="004527F9">
        <w:t>’</w:t>
      </w:r>
      <w:r w:rsidRPr="009B0B4A">
        <w:t xml:space="preserve"> GP service and the LAS</w:t>
      </w:r>
    </w:p>
    <w:p w:rsidR="00FE03D6" w:rsidRPr="009B0B4A" w:rsidRDefault="00FB1590" w:rsidP="00FE03D6">
      <w:pPr>
        <w:pStyle w:val="ListParagraph"/>
        <w:numPr>
          <w:ilvl w:val="0"/>
          <w:numId w:val="2"/>
        </w:numPr>
      </w:pPr>
      <w:r w:rsidRPr="009B0B4A">
        <w:t>111 goes out to tender a</w:t>
      </w:r>
      <w:r w:rsidR="00FE03D6" w:rsidRPr="009B0B4A">
        <w:t>t different times across London. North west London are aligning commissioning and will go out to tender in March 2016.</w:t>
      </w:r>
    </w:p>
    <w:p w:rsidR="00FE03D6" w:rsidRDefault="00FE03D6" w:rsidP="00FE03D6">
      <w:pPr>
        <w:rPr>
          <w:b/>
        </w:rPr>
      </w:pPr>
    </w:p>
    <w:p w:rsidR="004527F9" w:rsidRPr="009C7C48" w:rsidRDefault="004527F9" w:rsidP="004527F9">
      <w:pPr>
        <w:pStyle w:val="ListParagraph"/>
        <w:numPr>
          <w:ilvl w:val="0"/>
          <w:numId w:val="1"/>
        </w:numPr>
        <w:rPr>
          <w:b/>
        </w:rPr>
      </w:pPr>
      <w:r w:rsidRPr="009C7C48">
        <w:rPr>
          <w:b/>
        </w:rPr>
        <w:t>Paramedic Staff Update</w:t>
      </w:r>
    </w:p>
    <w:p w:rsidR="00FE03D6" w:rsidRPr="009C7C48" w:rsidRDefault="00FE03D6" w:rsidP="00FE03D6">
      <w:pPr>
        <w:rPr>
          <w:b/>
        </w:rPr>
      </w:pPr>
    </w:p>
    <w:p w:rsidR="009B0B4A" w:rsidRPr="009C7C48" w:rsidRDefault="009B0B4A" w:rsidP="004527F9">
      <w:pPr>
        <w:pStyle w:val="ListParagraph"/>
        <w:numPr>
          <w:ilvl w:val="0"/>
          <w:numId w:val="10"/>
        </w:numPr>
      </w:pPr>
      <w:r w:rsidRPr="009C7C48">
        <w:t>Paramedic vacancies 335 – August 2014 (July 320)</w:t>
      </w:r>
    </w:p>
    <w:p w:rsidR="009B0B4A" w:rsidRPr="009C7C48" w:rsidRDefault="009B0B4A" w:rsidP="004527F9">
      <w:pPr>
        <w:pStyle w:val="ListParagraph"/>
        <w:numPr>
          <w:ilvl w:val="0"/>
          <w:numId w:val="10"/>
        </w:numPr>
      </w:pPr>
      <w:r w:rsidRPr="009C7C48">
        <w:t>Staff retention is a major problem</w:t>
      </w:r>
    </w:p>
    <w:p w:rsidR="009B0B4A" w:rsidRPr="009C7C48" w:rsidRDefault="009B0B4A" w:rsidP="004527F9">
      <w:pPr>
        <w:pStyle w:val="ListParagraph"/>
        <w:numPr>
          <w:ilvl w:val="0"/>
          <w:numId w:val="10"/>
        </w:numPr>
      </w:pPr>
      <w:r w:rsidRPr="009C7C48">
        <w:t>Strike action planned for October 13</w:t>
      </w:r>
      <w:r w:rsidRPr="009C7C48">
        <w:rPr>
          <w:vertAlign w:val="superscript"/>
        </w:rPr>
        <w:t>th</w:t>
      </w:r>
      <w:r w:rsidRPr="009C7C48">
        <w:t xml:space="preserve"> and November 2014</w:t>
      </w:r>
    </w:p>
    <w:p w:rsidR="009B0B4A" w:rsidRPr="009C7C48" w:rsidRDefault="009B0B4A" w:rsidP="004527F9">
      <w:pPr>
        <w:pStyle w:val="ListParagraph"/>
        <w:numPr>
          <w:ilvl w:val="0"/>
          <w:numId w:val="10"/>
        </w:numPr>
      </w:pPr>
      <w:r w:rsidRPr="009C7C48">
        <w:t>Paramedics leaving in August 2014 – 18 (July 24)</w:t>
      </w:r>
    </w:p>
    <w:p w:rsidR="009B0B4A" w:rsidRPr="009C7C48" w:rsidRDefault="009B0B4A" w:rsidP="004527F9">
      <w:pPr>
        <w:pStyle w:val="ListParagraph"/>
        <w:numPr>
          <w:ilvl w:val="0"/>
          <w:numId w:val="10"/>
        </w:numPr>
      </w:pPr>
      <w:r w:rsidRPr="009C7C48">
        <w:t>183 job offers made to paramedics in Australia – expected to arrive in December 2014.</w:t>
      </w:r>
    </w:p>
    <w:p w:rsidR="009B0B4A" w:rsidRPr="009C7C48" w:rsidRDefault="009B0B4A" w:rsidP="004527F9">
      <w:pPr>
        <w:pStyle w:val="ListParagraph"/>
        <w:numPr>
          <w:ilvl w:val="0"/>
          <w:numId w:val="10"/>
        </w:numPr>
      </w:pPr>
      <w:r w:rsidRPr="009C7C48">
        <w:t xml:space="preserve">Some offers are to trainee paramedics in Australia, who have not yet graduated. </w:t>
      </w:r>
    </w:p>
    <w:p w:rsidR="009B0B4A" w:rsidRPr="009C7C48" w:rsidRDefault="009B0B4A" w:rsidP="004527F9">
      <w:pPr>
        <w:pStyle w:val="ListParagraph"/>
        <w:numPr>
          <w:ilvl w:val="0"/>
          <w:numId w:val="10"/>
        </w:numPr>
      </w:pPr>
      <w:r w:rsidRPr="009C7C48">
        <w:t>Staff declining overtime</w:t>
      </w:r>
    </w:p>
    <w:p w:rsidR="004527F9" w:rsidRDefault="004527F9" w:rsidP="004527F9">
      <w:pPr>
        <w:rPr>
          <w:highlight w:val="yellow"/>
        </w:rPr>
      </w:pPr>
    </w:p>
    <w:p w:rsidR="004527F9" w:rsidRPr="009C7C48" w:rsidRDefault="009C7C48" w:rsidP="004527F9">
      <w:r w:rsidRPr="009C7C48">
        <w:t>NOTE:</w:t>
      </w:r>
    </w:p>
    <w:p w:rsidR="004527F9" w:rsidRDefault="004527F9" w:rsidP="004527F9">
      <w:pPr>
        <w:rPr>
          <w:highlight w:val="yellow"/>
        </w:rPr>
      </w:pPr>
    </w:p>
    <w:p w:rsidR="004527F9" w:rsidRPr="004527F9" w:rsidRDefault="004527F9" w:rsidP="004527F9">
      <w:pPr>
        <w:rPr>
          <w:rFonts w:ascii="Arial" w:hAnsi="Arial" w:cs="Arial"/>
          <w:sz w:val="22"/>
          <w:szCs w:val="22"/>
        </w:rPr>
      </w:pPr>
      <w:r w:rsidRPr="004527F9">
        <w:rPr>
          <w:rFonts w:ascii="Arial" w:hAnsi="Arial" w:cs="Arial"/>
          <w:sz w:val="22"/>
          <w:szCs w:val="22"/>
        </w:rPr>
        <w:t>Along with all NHS Trusts, the service was required to ask staff to complete the Friends &amp; Family test that asked two questions: would you recommend the trust to your family and friends as a care provider; would you recommend the trust to your family and friends as an employer.</w:t>
      </w:r>
    </w:p>
    <w:p w:rsidR="004527F9" w:rsidRPr="004527F9" w:rsidRDefault="004527F9" w:rsidP="004527F9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4527F9" w:rsidRPr="004527F9" w:rsidRDefault="004527F9" w:rsidP="004527F9">
      <w:pPr>
        <w:rPr>
          <w:rFonts w:ascii="Arial" w:hAnsi="Arial" w:cs="Arial"/>
          <w:sz w:val="22"/>
          <w:szCs w:val="22"/>
        </w:rPr>
      </w:pPr>
      <w:r w:rsidRPr="004527F9">
        <w:rPr>
          <w:rFonts w:ascii="Arial" w:hAnsi="Arial" w:cs="Arial"/>
          <w:sz w:val="22"/>
          <w:szCs w:val="22"/>
        </w:rPr>
        <w:t>The test was combined with our quarterly Temperature Check survey and made available to staff during June 2014.</w:t>
      </w:r>
    </w:p>
    <w:p w:rsidR="004527F9" w:rsidRPr="004527F9" w:rsidRDefault="004527F9" w:rsidP="004527F9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4527F9" w:rsidRDefault="004527F9" w:rsidP="004527F9">
      <w:pPr>
        <w:rPr>
          <w:rFonts w:ascii="Arial" w:hAnsi="Arial" w:cs="Arial"/>
          <w:sz w:val="22"/>
          <w:szCs w:val="22"/>
        </w:rPr>
      </w:pPr>
      <w:r w:rsidRPr="004527F9">
        <w:rPr>
          <w:rFonts w:ascii="Arial" w:hAnsi="Arial" w:cs="Arial"/>
          <w:sz w:val="22"/>
          <w:szCs w:val="22"/>
        </w:rPr>
        <w:t>Upon closure of the survey, 384 staff had responded. The specific results of the F&amp;FT were:</w:t>
      </w:r>
    </w:p>
    <w:p w:rsidR="00B21AB8" w:rsidRPr="004527F9" w:rsidRDefault="00B21AB8" w:rsidP="004527F9">
      <w:pPr>
        <w:rPr>
          <w:rFonts w:ascii="Arial" w:hAnsi="Arial" w:cs="Arial"/>
          <w:sz w:val="22"/>
          <w:szCs w:val="22"/>
        </w:rPr>
      </w:pPr>
    </w:p>
    <w:p w:rsidR="00B21AB8" w:rsidRPr="004527F9" w:rsidRDefault="00B21AB8" w:rsidP="00B21A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trusts were</w:t>
      </w:r>
      <w:r w:rsidRPr="004527F9">
        <w:rPr>
          <w:rFonts w:ascii="Arial" w:hAnsi="Arial" w:cs="Arial"/>
          <w:sz w:val="22"/>
          <w:szCs w:val="22"/>
        </w:rPr>
        <w:t xml:space="preserve"> required to submit these results to NHSE by the deadline of 28</w:t>
      </w:r>
      <w:r w:rsidRPr="004527F9">
        <w:rPr>
          <w:rFonts w:ascii="Arial" w:hAnsi="Arial" w:cs="Arial"/>
          <w:sz w:val="22"/>
          <w:szCs w:val="22"/>
          <w:vertAlign w:val="superscript"/>
        </w:rPr>
        <w:t>th</w:t>
      </w:r>
      <w:r w:rsidRPr="004527F9">
        <w:rPr>
          <w:rFonts w:ascii="Arial" w:hAnsi="Arial" w:cs="Arial"/>
          <w:sz w:val="22"/>
          <w:szCs w:val="22"/>
        </w:rPr>
        <w:t xml:space="preserve"> July 2014.</w:t>
      </w:r>
    </w:p>
    <w:p w:rsidR="004527F9" w:rsidRPr="004527F9" w:rsidRDefault="004527F9" w:rsidP="004527F9">
      <w:pPr>
        <w:pStyle w:val="ListParagraph"/>
        <w:ind w:left="144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992"/>
        <w:gridCol w:w="2992"/>
      </w:tblGrid>
      <w:tr w:rsidR="004527F9" w:rsidTr="00AB6578">
        <w:tc>
          <w:tcPr>
            <w:tcW w:w="5204" w:type="dxa"/>
            <w:vMerge w:val="restart"/>
            <w:shd w:val="clear" w:color="auto" w:fill="auto"/>
          </w:tcPr>
          <w:p w:rsidR="004527F9" w:rsidRPr="00F97CE9" w:rsidRDefault="004527F9" w:rsidP="00AB6578">
            <w:pPr>
              <w:rPr>
                <w:rFonts w:ascii="Arial" w:hAnsi="Arial" w:cs="Arial"/>
              </w:rPr>
            </w:pPr>
          </w:p>
        </w:tc>
        <w:tc>
          <w:tcPr>
            <w:tcW w:w="10410" w:type="dxa"/>
            <w:gridSpan w:val="2"/>
            <w:shd w:val="clear" w:color="auto" w:fill="auto"/>
          </w:tcPr>
          <w:p w:rsidR="004527F9" w:rsidRPr="00F97CE9" w:rsidRDefault="004527F9" w:rsidP="00AB6578">
            <w:pPr>
              <w:jc w:val="center"/>
              <w:rPr>
                <w:rFonts w:ascii="Arial" w:hAnsi="Arial" w:cs="Arial"/>
                <w:b/>
              </w:rPr>
            </w:pPr>
            <w:r w:rsidRPr="00F97CE9">
              <w:rPr>
                <w:rFonts w:ascii="Arial" w:hAnsi="Arial" w:cs="Arial"/>
                <w:b/>
              </w:rPr>
              <w:t>% responses (excluding ‘unknown’)</w:t>
            </w:r>
          </w:p>
        </w:tc>
      </w:tr>
      <w:tr w:rsidR="004527F9" w:rsidTr="00AB6578">
        <w:tc>
          <w:tcPr>
            <w:tcW w:w="5204" w:type="dxa"/>
            <w:vMerge/>
            <w:shd w:val="clear" w:color="auto" w:fill="auto"/>
          </w:tcPr>
          <w:p w:rsidR="004527F9" w:rsidRPr="00F97CE9" w:rsidRDefault="004527F9" w:rsidP="00AB6578">
            <w:pPr>
              <w:rPr>
                <w:rFonts w:ascii="Arial" w:hAnsi="Arial" w:cs="Arial"/>
              </w:rPr>
            </w:pPr>
          </w:p>
        </w:tc>
        <w:tc>
          <w:tcPr>
            <w:tcW w:w="5205" w:type="dxa"/>
            <w:shd w:val="clear" w:color="auto" w:fill="auto"/>
          </w:tcPr>
          <w:p w:rsidR="004527F9" w:rsidRPr="00F97CE9" w:rsidRDefault="004527F9" w:rsidP="00AB6578">
            <w:pPr>
              <w:rPr>
                <w:rFonts w:ascii="Arial" w:hAnsi="Arial" w:cs="Arial"/>
                <w:b/>
              </w:rPr>
            </w:pPr>
            <w:r w:rsidRPr="00F97CE9">
              <w:rPr>
                <w:rFonts w:ascii="Arial" w:hAnsi="Arial" w:cs="Arial"/>
                <w:b/>
              </w:rPr>
              <w:t>Recommending treatment by the Trust</w:t>
            </w:r>
          </w:p>
        </w:tc>
        <w:tc>
          <w:tcPr>
            <w:tcW w:w="5205" w:type="dxa"/>
            <w:shd w:val="clear" w:color="auto" w:fill="auto"/>
          </w:tcPr>
          <w:p w:rsidR="004527F9" w:rsidRPr="00F97CE9" w:rsidRDefault="004527F9" w:rsidP="00AB6578">
            <w:pPr>
              <w:rPr>
                <w:rFonts w:ascii="Arial" w:hAnsi="Arial" w:cs="Arial"/>
                <w:b/>
              </w:rPr>
            </w:pPr>
            <w:r w:rsidRPr="00F97CE9">
              <w:rPr>
                <w:rFonts w:ascii="Arial" w:hAnsi="Arial" w:cs="Arial"/>
                <w:b/>
              </w:rPr>
              <w:t>Recommending the Trust as a place to work</w:t>
            </w:r>
          </w:p>
        </w:tc>
      </w:tr>
      <w:tr w:rsidR="004527F9" w:rsidTr="00AB6578">
        <w:tc>
          <w:tcPr>
            <w:tcW w:w="5204" w:type="dxa"/>
            <w:shd w:val="clear" w:color="auto" w:fill="C2D69B"/>
          </w:tcPr>
          <w:p w:rsidR="004527F9" w:rsidRPr="00F97CE9" w:rsidRDefault="004527F9" w:rsidP="00AB6578">
            <w:pPr>
              <w:rPr>
                <w:rFonts w:ascii="Arial" w:hAnsi="Arial" w:cs="Arial"/>
                <w:b/>
              </w:rPr>
            </w:pPr>
            <w:r w:rsidRPr="00F97CE9">
              <w:rPr>
                <w:rFonts w:ascii="Arial" w:hAnsi="Arial" w:cs="Arial"/>
                <w:b/>
              </w:rPr>
              <w:t>Extremely Likely</w:t>
            </w:r>
          </w:p>
        </w:tc>
        <w:tc>
          <w:tcPr>
            <w:tcW w:w="5205" w:type="dxa"/>
            <w:shd w:val="clear" w:color="auto" w:fill="C2D69B"/>
          </w:tcPr>
          <w:p w:rsidR="004527F9" w:rsidRPr="00F97CE9" w:rsidRDefault="004527F9" w:rsidP="00AB6578">
            <w:pPr>
              <w:rPr>
                <w:rFonts w:ascii="Arial" w:hAnsi="Arial" w:cs="Arial"/>
              </w:rPr>
            </w:pPr>
            <w:r w:rsidRPr="00F97CE9">
              <w:rPr>
                <w:rFonts w:ascii="Arial" w:hAnsi="Arial" w:cs="Arial"/>
              </w:rPr>
              <w:t>13.65% (46)</w:t>
            </w:r>
          </w:p>
        </w:tc>
        <w:tc>
          <w:tcPr>
            <w:tcW w:w="5205" w:type="dxa"/>
            <w:shd w:val="clear" w:color="auto" w:fill="C2D69B"/>
          </w:tcPr>
          <w:p w:rsidR="004527F9" w:rsidRPr="00F97CE9" w:rsidRDefault="004527F9" w:rsidP="00AB6578">
            <w:pPr>
              <w:rPr>
                <w:rFonts w:ascii="Arial" w:hAnsi="Arial" w:cs="Arial"/>
              </w:rPr>
            </w:pPr>
            <w:r w:rsidRPr="00F97CE9">
              <w:rPr>
                <w:rFonts w:ascii="Arial" w:hAnsi="Arial" w:cs="Arial"/>
              </w:rPr>
              <w:t>2.59% (9)</w:t>
            </w:r>
          </w:p>
        </w:tc>
      </w:tr>
      <w:tr w:rsidR="004527F9" w:rsidTr="00AB6578">
        <w:tc>
          <w:tcPr>
            <w:tcW w:w="5204" w:type="dxa"/>
            <w:shd w:val="clear" w:color="auto" w:fill="auto"/>
          </w:tcPr>
          <w:p w:rsidR="004527F9" w:rsidRPr="00F97CE9" w:rsidRDefault="004527F9" w:rsidP="00AB6578">
            <w:pPr>
              <w:rPr>
                <w:rFonts w:ascii="Arial" w:hAnsi="Arial" w:cs="Arial"/>
                <w:b/>
              </w:rPr>
            </w:pPr>
            <w:r w:rsidRPr="00F97CE9">
              <w:rPr>
                <w:rFonts w:ascii="Arial" w:hAnsi="Arial" w:cs="Arial"/>
                <w:b/>
              </w:rPr>
              <w:t>Likely</w:t>
            </w:r>
          </w:p>
        </w:tc>
        <w:tc>
          <w:tcPr>
            <w:tcW w:w="5205" w:type="dxa"/>
            <w:shd w:val="clear" w:color="auto" w:fill="auto"/>
          </w:tcPr>
          <w:p w:rsidR="004527F9" w:rsidRPr="00F97CE9" w:rsidRDefault="004527F9" w:rsidP="00AB6578">
            <w:pPr>
              <w:rPr>
                <w:rFonts w:ascii="Arial" w:hAnsi="Arial" w:cs="Arial"/>
              </w:rPr>
            </w:pPr>
            <w:r w:rsidRPr="00F97CE9">
              <w:rPr>
                <w:rFonts w:ascii="Arial" w:hAnsi="Arial" w:cs="Arial"/>
              </w:rPr>
              <w:t>34.42% (116)</w:t>
            </w:r>
          </w:p>
        </w:tc>
        <w:tc>
          <w:tcPr>
            <w:tcW w:w="5205" w:type="dxa"/>
            <w:shd w:val="clear" w:color="auto" w:fill="auto"/>
          </w:tcPr>
          <w:p w:rsidR="004527F9" w:rsidRPr="00F97CE9" w:rsidRDefault="004527F9" w:rsidP="00AB6578">
            <w:pPr>
              <w:rPr>
                <w:rFonts w:ascii="Arial" w:hAnsi="Arial" w:cs="Arial"/>
              </w:rPr>
            </w:pPr>
            <w:r w:rsidRPr="00F97CE9">
              <w:rPr>
                <w:rFonts w:ascii="Arial" w:hAnsi="Arial" w:cs="Arial"/>
              </w:rPr>
              <w:t>12.64% (44)</w:t>
            </w:r>
          </w:p>
        </w:tc>
      </w:tr>
      <w:tr w:rsidR="004527F9" w:rsidTr="00AB6578">
        <w:tc>
          <w:tcPr>
            <w:tcW w:w="5204" w:type="dxa"/>
            <w:shd w:val="clear" w:color="auto" w:fill="F2DBDB"/>
          </w:tcPr>
          <w:p w:rsidR="004527F9" w:rsidRPr="00F97CE9" w:rsidRDefault="004527F9" w:rsidP="00AB6578">
            <w:pPr>
              <w:rPr>
                <w:rFonts w:ascii="Arial" w:hAnsi="Arial" w:cs="Arial"/>
                <w:b/>
              </w:rPr>
            </w:pPr>
            <w:r w:rsidRPr="00F97CE9">
              <w:rPr>
                <w:rFonts w:ascii="Arial" w:hAnsi="Arial" w:cs="Arial"/>
                <w:b/>
              </w:rPr>
              <w:t>Neither likely nor unlikely</w:t>
            </w:r>
          </w:p>
        </w:tc>
        <w:tc>
          <w:tcPr>
            <w:tcW w:w="5205" w:type="dxa"/>
            <w:shd w:val="clear" w:color="auto" w:fill="F2DBDB"/>
          </w:tcPr>
          <w:p w:rsidR="004527F9" w:rsidRPr="00F97CE9" w:rsidRDefault="004527F9" w:rsidP="00AB6578">
            <w:pPr>
              <w:rPr>
                <w:rFonts w:ascii="Arial" w:hAnsi="Arial" w:cs="Arial"/>
              </w:rPr>
            </w:pPr>
            <w:r w:rsidRPr="00F97CE9">
              <w:rPr>
                <w:rFonts w:ascii="Arial" w:hAnsi="Arial" w:cs="Arial"/>
              </w:rPr>
              <w:t>17.51% (59)</w:t>
            </w:r>
          </w:p>
        </w:tc>
        <w:tc>
          <w:tcPr>
            <w:tcW w:w="5205" w:type="dxa"/>
            <w:shd w:val="clear" w:color="auto" w:fill="F2DBDB"/>
          </w:tcPr>
          <w:p w:rsidR="004527F9" w:rsidRPr="00F97CE9" w:rsidRDefault="004527F9" w:rsidP="00AB6578">
            <w:pPr>
              <w:rPr>
                <w:rFonts w:ascii="Arial" w:hAnsi="Arial" w:cs="Arial"/>
              </w:rPr>
            </w:pPr>
            <w:r w:rsidRPr="00F97CE9">
              <w:rPr>
                <w:rFonts w:ascii="Arial" w:hAnsi="Arial" w:cs="Arial"/>
              </w:rPr>
              <w:t>13.79% (48)</w:t>
            </w:r>
          </w:p>
        </w:tc>
      </w:tr>
      <w:tr w:rsidR="004527F9" w:rsidTr="00AB6578">
        <w:tc>
          <w:tcPr>
            <w:tcW w:w="5204" w:type="dxa"/>
            <w:shd w:val="clear" w:color="auto" w:fill="F2DBDB"/>
          </w:tcPr>
          <w:p w:rsidR="004527F9" w:rsidRPr="00F97CE9" w:rsidRDefault="004527F9" w:rsidP="00AB6578">
            <w:pPr>
              <w:rPr>
                <w:rFonts w:ascii="Arial" w:hAnsi="Arial" w:cs="Arial"/>
                <w:b/>
              </w:rPr>
            </w:pPr>
            <w:r w:rsidRPr="00F97CE9">
              <w:rPr>
                <w:rFonts w:ascii="Arial" w:hAnsi="Arial" w:cs="Arial"/>
                <w:b/>
              </w:rPr>
              <w:t>Unlikely</w:t>
            </w:r>
          </w:p>
        </w:tc>
        <w:tc>
          <w:tcPr>
            <w:tcW w:w="5205" w:type="dxa"/>
            <w:shd w:val="clear" w:color="auto" w:fill="F2DBDB"/>
          </w:tcPr>
          <w:p w:rsidR="004527F9" w:rsidRPr="00F97CE9" w:rsidRDefault="004527F9" w:rsidP="00AB6578">
            <w:pPr>
              <w:rPr>
                <w:rFonts w:ascii="Arial" w:hAnsi="Arial" w:cs="Arial"/>
              </w:rPr>
            </w:pPr>
            <w:r w:rsidRPr="00F97CE9">
              <w:rPr>
                <w:rFonts w:ascii="Arial" w:hAnsi="Arial" w:cs="Arial"/>
              </w:rPr>
              <w:t>20.47% (69)</w:t>
            </w:r>
          </w:p>
        </w:tc>
        <w:tc>
          <w:tcPr>
            <w:tcW w:w="5205" w:type="dxa"/>
            <w:shd w:val="clear" w:color="auto" w:fill="F2DBDB"/>
          </w:tcPr>
          <w:p w:rsidR="004527F9" w:rsidRPr="00F97CE9" w:rsidRDefault="004527F9" w:rsidP="00AB6578">
            <w:pPr>
              <w:rPr>
                <w:rFonts w:ascii="Arial" w:hAnsi="Arial" w:cs="Arial"/>
              </w:rPr>
            </w:pPr>
            <w:r w:rsidRPr="00F97CE9">
              <w:rPr>
                <w:rFonts w:ascii="Arial" w:hAnsi="Arial" w:cs="Arial"/>
              </w:rPr>
              <w:t>21.84% (76)</w:t>
            </w:r>
          </w:p>
        </w:tc>
      </w:tr>
      <w:tr w:rsidR="004527F9" w:rsidTr="00AB6578">
        <w:tc>
          <w:tcPr>
            <w:tcW w:w="5204" w:type="dxa"/>
            <w:shd w:val="clear" w:color="auto" w:fill="F2DBDB"/>
          </w:tcPr>
          <w:p w:rsidR="004527F9" w:rsidRPr="00F97CE9" w:rsidRDefault="004527F9" w:rsidP="00AB6578">
            <w:pPr>
              <w:rPr>
                <w:rFonts w:ascii="Arial" w:hAnsi="Arial" w:cs="Arial"/>
                <w:b/>
              </w:rPr>
            </w:pPr>
            <w:r w:rsidRPr="00F97CE9">
              <w:rPr>
                <w:rFonts w:ascii="Arial" w:hAnsi="Arial" w:cs="Arial"/>
                <w:b/>
              </w:rPr>
              <w:t>Extremely unlikely</w:t>
            </w:r>
          </w:p>
        </w:tc>
        <w:tc>
          <w:tcPr>
            <w:tcW w:w="5205" w:type="dxa"/>
            <w:shd w:val="clear" w:color="auto" w:fill="F2DBDB"/>
          </w:tcPr>
          <w:p w:rsidR="004527F9" w:rsidRPr="00F97CE9" w:rsidRDefault="004527F9" w:rsidP="00AB6578">
            <w:pPr>
              <w:rPr>
                <w:rFonts w:ascii="Arial" w:hAnsi="Arial" w:cs="Arial"/>
              </w:rPr>
            </w:pPr>
            <w:r w:rsidRPr="00F97CE9">
              <w:rPr>
                <w:rFonts w:ascii="Arial" w:hAnsi="Arial" w:cs="Arial"/>
              </w:rPr>
              <w:t>13.95% (47)</w:t>
            </w:r>
          </w:p>
        </w:tc>
        <w:tc>
          <w:tcPr>
            <w:tcW w:w="5205" w:type="dxa"/>
            <w:shd w:val="clear" w:color="auto" w:fill="F2DBDB"/>
          </w:tcPr>
          <w:p w:rsidR="004527F9" w:rsidRPr="00F97CE9" w:rsidRDefault="004527F9" w:rsidP="00AB6578">
            <w:pPr>
              <w:rPr>
                <w:rFonts w:ascii="Arial" w:hAnsi="Arial" w:cs="Arial"/>
              </w:rPr>
            </w:pPr>
            <w:r w:rsidRPr="00F97CE9">
              <w:rPr>
                <w:rFonts w:ascii="Arial" w:hAnsi="Arial" w:cs="Arial"/>
              </w:rPr>
              <w:t>49.14% (171)</w:t>
            </w:r>
          </w:p>
        </w:tc>
      </w:tr>
      <w:tr w:rsidR="004527F9" w:rsidTr="00AB6578">
        <w:tc>
          <w:tcPr>
            <w:tcW w:w="5204" w:type="dxa"/>
            <w:shd w:val="clear" w:color="auto" w:fill="auto"/>
          </w:tcPr>
          <w:p w:rsidR="004527F9" w:rsidRPr="00F97CE9" w:rsidRDefault="004527F9" w:rsidP="00AB6578">
            <w:pPr>
              <w:rPr>
                <w:rFonts w:ascii="Arial" w:hAnsi="Arial" w:cs="Arial"/>
                <w:b/>
              </w:rPr>
            </w:pPr>
          </w:p>
        </w:tc>
        <w:tc>
          <w:tcPr>
            <w:tcW w:w="5205" w:type="dxa"/>
            <w:shd w:val="clear" w:color="auto" w:fill="auto"/>
          </w:tcPr>
          <w:p w:rsidR="004527F9" w:rsidRPr="00F97CE9" w:rsidRDefault="004527F9" w:rsidP="00AB6578">
            <w:pPr>
              <w:rPr>
                <w:rFonts w:ascii="Arial" w:hAnsi="Arial" w:cs="Arial"/>
              </w:rPr>
            </w:pPr>
          </w:p>
        </w:tc>
        <w:tc>
          <w:tcPr>
            <w:tcW w:w="5205" w:type="dxa"/>
            <w:shd w:val="clear" w:color="auto" w:fill="auto"/>
          </w:tcPr>
          <w:p w:rsidR="004527F9" w:rsidRPr="00F97CE9" w:rsidRDefault="004527F9" w:rsidP="00AB6578">
            <w:pPr>
              <w:rPr>
                <w:rFonts w:ascii="Arial" w:hAnsi="Arial" w:cs="Arial"/>
              </w:rPr>
            </w:pPr>
          </w:p>
        </w:tc>
      </w:tr>
      <w:tr w:rsidR="004527F9" w:rsidTr="00AB6578">
        <w:tc>
          <w:tcPr>
            <w:tcW w:w="5204" w:type="dxa"/>
            <w:shd w:val="clear" w:color="auto" w:fill="auto"/>
          </w:tcPr>
          <w:p w:rsidR="004527F9" w:rsidRPr="00F97CE9" w:rsidRDefault="004527F9" w:rsidP="00AB6578">
            <w:pPr>
              <w:rPr>
                <w:rFonts w:ascii="Arial" w:hAnsi="Arial" w:cs="Arial"/>
                <w:b/>
              </w:rPr>
            </w:pPr>
            <w:r w:rsidRPr="00F97CE9">
              <w:rPr>
                <w:rFonts w:ascii="Arial" w:hAnsi="Arial" w:cs="Arial"/>
                <w:b/>
              </w:rPr>
              <w:t>Net promoter score</w:t>
            </w:r>
          </w:p>
        </w:tc>
        <w:tc>
          <w:tcPr>
            <w:tcW w:w="5205" w:type="dxa"/>
            <w:shd w:val="clear" w:color="auto" w:fill="auto"/>
          </w:tcPr>
          <w:p w:rsidR="004527F9" w:rsidRPr="00F97CE9" w:rsidRDefault="004527F9" w:rsidP="00AB6578">
            <w:pPr>
              <w:rPr>
                <w:rFonts w:ascii="Arial" w:hAnsi="Arial" w:cs="Arial"/>
              </w:rPr>
            </w:pPr>
            <w:r w:rsidRPr="00F97CE9">
              <w:rPr>
                <w:rFonts w:ascii="Arial" w:hAnsi="Arial" w:cs="Arial"/>
              </w:rPr>
              <w:t>-38.28</w:t>
            </w:r>
          </w:p>
        </w:tc>
        <w:tc>
          <w:tcPr>
            <w:tcW w:w="5205" w:type="dxa"/>
            <w:shd w:val="clear" w:color="auto" w:fill="auto"/>
          </w:tcPr>
          <w:p w:rsidR="004527F9" w:rsidRPr="00F97CE9" w:rsidRDefault="004527F9" w:rsidP="00AB6578">
            <w:pPr>
              <w:rPr>
                <w:rFonts w:ascii="Arial" w:hAnsi="Arial" w:cs="Arial"/>
              </w:rPr>
            </w:pPr>
            <w:r w:rsidRPr="00F97CE9">
              <w:rPr>
                <w:rFonts w:ascii="Arial" w:hAnsi="Arial" w:cs="Arial"/>
              </w:rPr>
              <w:t>-82.18</w:t>
            </w:r>
          </w:p>
        </w:tc>
      </w:tr>
    </w:tbl>
    <w:p w:rsidR="00FE03D6" w:rsidRPr="009D68FB" w:rsidRDefault="00FE03D6" w:rsidP="009D68FB">
      <w:pPr>
        <w:rPr>
          <w:b/>
        </w:rPr>
      </w:pPr>
    </w:p>
    <w:p w:rsidR="00FE03D6" w:rsidRDefault="00FE03D6" w:rsidP="00FE03D6">
      <w:pPr>
        <w:rPr>
          <w:b/>
        </w:rPr>
      </w:pPr>
    </w:p>
    <w:p w:rsidR="00FE03D6" w:rsidRDefault="00FE03D6" w:rsidP="00FE03D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Performance </w:t>
      </w:r>
    </w:p>
    <w:p w:rsidR="00FE03D6" w:rsidRDefault="00FE03D6" w:rsidP="00FE03D6">
      <w:pPr>
        <w:pStyle w:val="ListParagraph"/>
        <w:rPr>
          <w:b/>
        </w:rPr>
      </w:pPr>
    </w:p>
    <w:p w:rsidR="00FE03D6" w:rsidRPr="009B0B4A" w:rsidRDefault="00FE03D6" w:rsidP="00FE03D6">
      <w:pPr>
        <w:pStyle w:val="ListParagraph"/>
        <w:numPr>
          <w:ilvl w:val="0"/>
          <w:numId w:val="4"/>
        </w:numPr>
      </w:pPr>
      <w:r w:rsidRPr="009B0B4A">
        <w:t xml:space="preserve">Cat A1 66.07% (target 75% should arrive in 8 minutes) </w:t>
      </w:r>
      <w:r w:rsidR="009D68FB">
        <w:t>-</w:t>
      </w:r>
      <w:r w:rsidRPr="009B0B4A">
        <w:t>29/9/2014</w:t>
      </w:r>
    </w:p>
    <w:p w:rsidR="00FE03D6" w:rsidRPr="009B0B4A" w:rsidRDefault="00FE03D6" w:rsidP="00FE03D6">
      <w:pPr>
        <w:pStyle w:val="ListParagraph"/>
        <w:numPr>
          <w:ilvl w:val="0"/>
          <w:numId w:val="4"/>
        </w:numPr>
      </w:pPr>
      <w:r w:rsidRPr="009B0B4A">
        <w:t xml:space="preserve">Cat A2 57.47% (target 75% should arrive in 8 minutes) </w:t>
      </w:r>
      <w:r w:rsidR="009D68FB">
        <w:t>-</w:t>
      </w:r>
      <w:r w:rsidRPr="009B0B4A">
        <w:t>29/9/2014</w:t>
      </w:r>
    </w:p>
    <w:p w:rsidR="00FE03D6" w:rsidRPr="009B0B4A" w:rsidRDefault="00A466FB" w:rsidP="00FE03D6">
      <w:pPr>
        <w:pStyle w:val="ListParagraph"/>
        <w:numPr>
          <w:ilvl w:val="0"/>
          <w:numId w:val="4"/>
        </w:numPr>
      </w:pPr>
      <w:r w:rsidRPr="009B0B4A">
        <w:t>Cat C1 48% (target arrive within 20 minutes – 75% of patients) – August 2014</w:t>
      </w:r>
    </w:p>
    <w:p w:rsidR="00A466FB" w:rsidRPr="009B0B4A" w:rsidRDefault="00A466FB" w:rsidP="00FE03D6">
      <w:pPr>
        <w:pStyle w:val="ListParagraph"/>
        <w:numPr>
          <w:ilvl w:val="0"/>
          <w:numId w:val="4"/>
        </w:numPr>
      </w:pPr>
      <w:r w:rsidRPr="009B0B4A">
        <w:t>Cat C2  51% (target arrive within 30 minutes – 75% of patients) – August 2014</w:t>
      </w:r>
    </w:p>
    <w:p w:rsidR="00A466FB" w:rsidRPr="009B0B4A" w:rsidRDefault="00A466FB" w:rsidP="00FE03D6">
      <w:pPr>
        <w:pStyle w:val="ListParagraph"/>
        <w:numPr>
          <w:ilvl w:val="0"/>
          <w:numId w:val="4"/>
        </w:numPr>
      </w:pPr>
      <w:r w:rsidRPr="009B0B4A">
        <w:t>Improvement in performance not expected till October 2014.</w:t>
      </w:r>
    </w:p>
    <w:p w:rsidR="00A466FB" w:rsidRPr="009B0B4A" w:rsidRDefault="00A466FB" w:rsidP="00FE03D6">
      <w:pPr>
        <w:pStyle w:val="ListParagraph"/>
        <w:numPr>
          <w:ilvl w:val="0"/>
          <w:numId w:val="4"/>
        </w:numPr>
      </w:pPr>
      <w:r w:rsidRPr="009B0B4A">
        <w:t xml:space="preserve">Need to increase capacity </w:t>
      </w:r>
    </w:p>
    <w:p w:rsidR="00A466FB" w:rsidRPr="009B0B4A" w:rsidRDefault="00A466FB" w:rsidP="00FE03D6">
      <w:pPr>
        <w:pStyle w:val="ListParagraph"/>
        <w:numPr>
          <w:ilvl w:val="0"/>
          <w:numId w:val="4"/>
        </w:numPr>
      </w:pPr>
      <w:r w:rsidRPr="009B0B4A">
        <w:t>Demand management being used</w:t>
      </w:r>
    </w:p>
    <w:p w:rsidR="00A466FB" w:rsidRPr="009B0B4A" w:rsidRDefault="00A466FB" w:rsidP="00FE03D6">
      <w:pPr>
        <w:pStyle w:val="ListParagraph"/>
        <w:numPr>
          <w:ilvl w:val="0"/>
          <w:numId w:val="4"/>
        </w:numPr>
      </w:pPr>
      <w:r w:rsidRPr="009B0B4A">
        <w:t xml:space="preserve">Reducing ambulance journeys by 1000/per month. </w:t>
      </w:r>
    </w:p>
    <w:p w:rsidR="00A466FB" w:rsidRPr="009B0B4A" w:rsidRDefault="00A466FB" w:rsidP="00FE03D6">
      <w:pPr>
        <w:pStyle w:val="ListParagraph"/>
        <w:numPr>
          <w:ilvl w:val="0"/>
          <w:numId w:val="4"/>
        </w:numPr>
      </w:pPr>
      <w:r w:rsidRPr="009B0B4A">
        <w:t>Attending all Cat A and C1 calls</w:t>
      </w:r>
    </w:p>
    <w:p w:rsidR="00A466FB" w:rsidRPr="009B0B4A" w:rsidRDefault="009D68FB" w:rsidP="00FE03D6">
      <w:pPr>
        <w:pStyle w:val="ListParagraph"/>
        <w:numPr>
          <w:ilvl w:val="0"/>
          <w:numId w:val="4"/>
        </w:numPr>
      </w:pPr>
      <w:r>
        <w:t>C1 callers are phoned back if</w:t>
      </w:r>
      <w:r w:rsidR="00A466FB" w:rsidRPr="009B0B4A">
        <w:t xml:space="preserve"> there are delays</w:t>
      </w:r>
    </w:p>
    <w:p w:rsidR="00A466FB" w:rsidRDefault="00A466FB" w:rsidP="00A466FB">
      <w:pPr>
        <w:rPr>
          <w:b/>
        </w:rPr>
      </w:pPr>
    </w:p>
    <w:p w:rsidR="00A466FB" w:rsidRDefault="00A466FB" w:rsidP="00A466F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Complaints</w:t>
      </w:r>
    </w:p>
    <w:p w:rsidR="00A466FB" w:rsidRDefault="00A466FB" w:rsidP="00A466FB">
      <w:pPr>
        <w:pStyle w:val="ListParagraph"/>
        <w:rPr>
          <w:b/>
        </w:rPr>
      </w:pPr>
    </w:p>
    <w:p w:rsidR="00A466FB" w:rsidRPr="009B0B4A" w:rsidRDefault="009D68FB" w:rsidP="00A466FB">
      <w:pPr>
        <w:pStyle w:val="ListParagraph"/>
        <w:numPr>
          <w:ilvl w:val="0"/>
          <w:numId w:val="5"/>
        </w:numPr>
      </w:pPr>
      <w:r>
        <w:t>Doubled since 2013/4. Most concern</w:t>
      </w:r>
      <w:r w:rsidR="00A466FB" w:rsidRPr="009B0B4A">
        <w:t xml:space="preserve"> delay</w:t>
      </w:r>
      <w:r>
        <w:t>s in ambulances arriving.</w:t>
      </w:r>
    </w:p>
    <w:p w:rsidR="00A466FB" w:rsidRPr="009B0B4A" w:rsidRDefault="00A466FB" w:rsidP="00A466FB">
      <w:pPr>
        <w:pStyle w:val="ListParagraph"/>
        <w:numPr>
          <w:ilvl w:val="0"/>
          <w:numId w:val="5"/>
        </w:numPr>
      </w:pPr>
      <w:r w:rsidRPr="009B0B4A">
        <w:t>Shortage of Quality Audit staff (QA) to monitor complaints is causing delay</w:t>
      </w:r>
    </w:p>
    <w:p w:rsidR="00A466FB" w:rsidRPr="009B0B4A" w:rsidRDefault="00A466FB" w:rsidP="00A466FB">
      <w:pPr>
        <w:pStyle w:val="ListParagraph"/>
        <w:numPr>
          <w:ilvl w:val="0"/>
          <w:numId w:val="5"/>
        </w:numPr>
      </w:pPr>
      <w:r w:rsidRPr="009B0B4A">
        <w:t>QA staff also monitor 1% of calls to the LAS</w:t>
      </w:r>
    </w:p>
    <w:p w:rsidR="00A466FB" w:rsidRPr="009B0B4A" w:rsidRDefault="00A466FB" w:rsidP="00A466FB">
      <w:pPr>
        <w:pStyle w:val="ListParagraph"/>
        <w:numPr>
          <w:ilvl w:val="0"/>
          <w:numId w:val="5"/>
        </w:numPr>
      </w:pPr>
      <w:r w:rsidRPr="009B0B4A">
        <w:t xml:space="preserve">No analysis of who the complainants are – e.g. protected </w:t>
      </w:r>
      <w:r w:rsidR="005C0648" w:rsidRPr="009B0B4A">
        <w:t>characteristics</w:t>
      </w:r>
    </w:p>
    <w:p w:rsidR="00F40641" w:rsidRPr="009D68FB" w:rsidRDefault="00F40641" w:rsidP="009D68FB">
      <w:pPr>
        <w:rPr>
          <w:b/>
        </w:rPr>
      </w:pPr>
    </w:p>
    <w:p w:rsidR="00F40641" w:rsidRDefault="00F40641" w:rsidP="00F4064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Patients’ feedback being sought</w:t>
      </w:r>
    </w:p>
    <w:p w:rsidR="00F40641" w:rsidRPr="009B0B4A" w:rsidRDefault="00F40641" w:rsidP="00F40641">
      <w:pPr>
        <w:pStyle w:val="ListParagraph"/>
      </w:pPr>
    </w:p>
    <w:p w:rsidR="00A466FB" w:rsidRPr="009B0B4A" w:rsidRDefault="00F40641" w:rsidP="00F40641">
      <w:pPr>
        <w:pStyle w:val="ListParagraph"/>
        <w:numPr>
          <w:ilvl w:val="0"/>
          <w:numId w:val="6"/>
        </w:numPr>
      </w:pPr>
      <w:r w:rsidRPr="009B0B4A">
        <w:t>LAS will seek a representative group</w:t>
      </w:r>
      <w:r w:rsidR="009D68FB">
        <w:t>, and</w:t>
      </w:r>
    </w:p>
    <w:p w:rsidR="00F40641" w:rsidRPr="009B0B4A" w:rsidRDefault="00F40641" w:rsidP="00F40641">
      <w:pPr>
        <w:pStyle w:val="ListParagraph"/>
        <w:numPr>
          <w:ilvl w:val="0"/>
          <w:numId w:val="6"/>
        </w:numPr>
      </w:pPr>
      <w:r w:rsidRPr="009B0B4A">
        <w:t>A vulnerable group, e.g. mental health services users, older people who have fallen</w:t>
      </w:r>
    </w:p>
    <w:p w:rsidR="00F40641" w:rsidRPr="009B0B4A" w:rsidRDefault="00F40641" w:rsidP="00F40641">
      <w:pPr>
        <w:pStyle w:val="ListParagraph"/>
        <w:numPr>
          <w:ilvl w:val="0"/>
          <w:numId w:val="6"/>
        </w:numPr>
      </w:pPr>
      <w:r w:rsidRPr="009B0B4A">
        <w:t>There was no action plan s</w:t>
      </w:r>
      <w:r w:rsidR="009D68FB">
        <w:t>o it was not clear what the purpose</w:t>
      </w:r>
      <w:r w:rsidRPr="009B0B4A">
        <w:t xml:space="preserve"> is and what the LAS is trying to achieve</w:t>
      </w:r>
      <w:r w:rsidR="009D68FB">
        <w:t xml:space="preserve"> in terms of outcomes</w:t>
      </w:r>
    </w:p>
    <w:p w:rsidR="00F40641" w:rsidRDefault="00F40641" w:rsidP="00F40641">
      <w:pPr>
        <w:rPr>
          <w:b/>
          <w:highlight w:val="yellow"/>
        </w:rPr>
      </w:pPr>
    </w:p>
    <w:p w:rsidR="00722A6A" w:rsidRDefault="00722A6A" w:rsidP="00F40641">
      <w:pPr>
        <w:rPr>
          <w:b/>
          <w:highlight w:val="yellow"/>
        </w:rPr>
      </w:pPr>
    </w:p>
    <w:p w:rsidR="00722A6A" w:rsidRDefault="00722A6A" w:rsidP="00F40641">
      <w:pPr>
        <w:rPr>
          <w:b/>
          <w:highlight w:val="yellow"/>
        </w:rPr>
      </w:pPr>
    </w:p>
    <w:p w:rsidR="00930B31" w:rsidRPr="00930B31" w:rsidRDefault="00930B31" w:rsidP="00930B31">
      <w:pPr>
        <w:rPr>
          <w:b/>
        </w:rPr>
      </w:pPr>
    </w:p>
    <w:p w:rsidR="00F40641" w:rsidRDefault="00F40641" w:rsidP="00F40641">
      <w:pPr>
        <w:pStyle w:val="ListParagraph"/>
        <w:numPr>
          <w:ilvl w:val="0"/>
          <w:numId w:val="1"/>
        </w:numPr>
        <w:rPr>
          <w:b/>
        </w:rPr>
      </w:pPr>
      <w:r w:rsidRPr="00F40641">
        <w:rPr>
          <w:b/>
        </w:rPr>
        <w:lastRenderedPageBreak/>
        <w:t>PRFs – Patient Report Forms used by Paramedics</w:t>
      </w:r>
    </w:p>
    <w:p w:rsidR="000C44FE" w:rsidRDefault="000C44FE" w:rsidP="000C44FE">
      <w:pPr>
        <w:pStyle w:val="ListParagraph"/>
        <w:rPr>
          <w:b/>
        </w:rPr>
      </w:pPr>
    </w:p>
    <w:p w:rsidR="00F40641" w:rsidRPr="004527F9" w:rsidRDefault="00F40641" w:rsidP="00F40641">
      <w:pPr>
        <w:pStyle w:val="ListParagraph"/>
        <w:numPr>
          <w:ilvl w:val="0"/>
          <w:numId w:val="7"/>
        </w:numPr>
      </w:pPr>
      <w:r w:rsidRPr="004527F9">
        <w:t>Voluntary and private sector paramedics are returning low numbers of PRFs</w:t>
      </w:r>
      <w:r w:rsidR="009D68FB">
        <w:t>. This should be regarded as a very serious failing by staff responsible</w:t>
      </w:r>
    </w:p>
    <w:p w:rsidR="00F40641" w:rsidRPr="004527F9" w:rsidRDefault="00F40641" w:rsidP="00F40641">
      <w:pPr>
        <w:pStyle w:val="ListParagraph"/>
        <w:numPr>
          <w:ilvl w:val="0"/>
          <w:numId w:val="7"/>
        </w:numPr>
      </w:pPr>
      <w:r w:rsidRPr="004527F9">
        <w:t>Adequate clinic</w:t>
      </w:r>
      <w:r w:rsidR="009D68FB">
        <w:t>al</w:t>
      </w:r>
      <w:r w:rsidRPr="004527F9">
        <w:t xml:space="preserve"> audit is hampered because of the loss of PRFs</w:t>
      </w:r>
    </w:p>
    <w:p w:rsidR="00930B31" w:rsidRPr="004527F9" w:rsidRDefault="00F40641" w:rsidP="00930B31">
      <w:pPr>
        <w:pStyle w:val="ListParagraph"/>
        <w:numPr>
          <w:ilvl w:val="0"/>
          <w:numId w:val="7"/>
        </w:numPr>
      </w:pPr>
      <w:r w:rsidRPr="004527F9">
        <w:t>Low number of returns in City and Hackney</w:t>
      </w:r>
    </w:p>
    <w:p w:rsidR="00930B31" w:rsidRDefault="00930B31" w:rsidP="00930B31">
      <w:pPr>
        <w:pStyle w:val="ListParagraph"/>
        <w:ind w:left="1440"/>
        <w:rPr>
          <w:b/>
        </w:rPr>
      </w:pPr>
    </w:p>
    <w:p w:rsidR="00930B31" w:rsidRPr="000C44FE" w:rsidRDefault="00930B31" w:rsidP="00930B31">
      <w:pPr>
        <w:pStyle w:val="ListParagraph"/>
        <w:numPr>
          <w:ilvl w:val="0"/>
          <w:numId w:val="1"/>
        </w:numPr>
        <w:rPr>
          <w:b/>
        </w:rPr>
      </w:pPr>
      <w:r w:rsidRPr="00930B31">
        <w:rPr>
          <w:b/>
          <w:bCs/>
          <w:kern w:val="36"/>
          <w:lang w:val="en"/>
        </w:rPr>
        <w:t>Posterior circulation ischaemic stroke</w:t>
      </w:r>
      <w:r w:rsidR="009D68FB">
        <w:rPr>
          <w:b/>
          <w:bCs/>
          <w:kern w:val="36"/>
          <w:lang w:val="en"/>
        </w:rPr>
        <w:t>s</w:t>
      </w:r>
    </w:p>
    <w:p w:rsidR="000C44FE" w:rsidRPr="00930B31" w:rsidRDefault="000C44FE" w:rsidP="000C44FE">
      <w:pPr>
        <w:pStyle w:val="ListParagraph"/>
        <w:rPr>
          <w:b/>
        </w:rPr>
      </w:pPr>
    </w:p>
    <w:p w:rsidR="009D68FB" w:rsidRDefault="009D68FB" w:rsidP="000C44FE">
      <w:pPr>
        <w:pStyle w:val="ListParagraph"/>
        <w:numPr>
          <w:ilvl w:val="0"/>
          <w:numId w:val="8"/>
        </w:numPr>
        <w:rPr>
          <w:lang w:val="en"/>
        </w:rPr>
      </w:pPr>
      <w:r>
        <w:rPr>
          <w:lang w:val="en"/>
        </w:rPr>
        <w:t>We asked about the problems diagnosing these strokes</w:t>
      </w:r>
    </w:p>
    <w:p w:rsidR="000C44FE" w:rsidRPr="000C44FE" w:rsidRDefault="009D68FB" w:rsidP="000C44FE">
      <w:pPr>
        <w:pStyle w:val="ListParagraph"/>
        <w:numPr>
          <w:ilvl w:val="0"/>
          <w:numId w:val="8"/>
        </w:numPr>
        <w:rPr>
          <w:lang w:val="en"/>
        </w:rPr>
      </w:pPr>
      <w:r>
        <w:rPr>
          <w:lang w:val="en"/>
        </w:rPr>
        <w:t xml:space="preserve">See: </w:t>
      </w:r>
      <w:r w:rsidR="00930B31" w:rsidRPr="000C44FE">
        <w:rPr>
          <w:lang w:val="en"/>
        </w:rPr>
        <w:t>BMJ 2014; (Published 19 May 2014</w:t>
      </w:r>
      <w:r w:rsidR="000C44FE" w:rsidRPr="000C44FE">
        <w:rPr>
          <w:lang w:val="en"/>
        </w:rPr>
        <w:t xml:space="preserve"> -                 </w:t>
      </w:r>
    </w:p>
    <w:p w:rsidR="000C44FE" w:rsidRPr="000C44FE" w:rsidRDefault="000C44FE" w:rsidP="000C44FE">
      <w:r w:rsidRPr="000C44FE">
        <w:rPr>
          <w:lang w:val="en"/>
        </w:rPr>
        <w:t xml:space="preserve">                        </w:t>
      </w:r>
      <w:hyperlink r:id="rId8" w:tooltip="http://www.bmj.com/content/348/bmj.g3175" w:history="1">
        <w:r w:rsidRPr="000C44FE">
          <w:rPr>
            <w:rStyle w:val="Hyperlink"/>
            <w:color w:val="auto"/>
          </w:rPr>
          <w:t>http://www.bmj.com/content/348/bmj.g3175</w:t>
        </w:r>
      </w:hyperlink>
    </w:p>
    <w:p w:rsidR="00930B31" w:rsidRDefault="000C44FE" w:rsidP="000C44FE">
      <w:pPr>
        <w:pStyle w:val="ListParagraph"/>
        <w:numPr>
          <w:ilvl w:val="0"/>
          <w:numId w:val="8"/>
        </w:numPr>
      </w:pPr>
      <w:r w:rsidRPr="000C44FE">
        <w:t>Fionna Moore, the Medical Director described the difficulties of diagnosing posterior circulation strokes.</w:t>
      </w:r>
    </w:p>
    <w:p w:rsidR="000C44FE" w:rsidRPr="000C44FE" w:rsidRDefault="000C44FE" w:rsidP="000C44FE">
      <w:pPr>
        <w:rPr>
          <w:b/>
        </w:rPr>
      </w:pPr>
    </w:p>
    <w:p w:rsidR="000C44FE" w:rsidRDefault="00EC1960" w:rsidP="000C44F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Statutory D</w:t>
      </w:r>
      <w:r w:rsidR="000C44FE" w:rsidRPr="000C44FE">
        <w:rPr>
          <w:b/>
        </w:rPr>
        <w:t>uty of Candour</w:t>
      </w:r>
    </w:p>
    <w:p w:rsidR="00EC1960" w:rsidRDefault="00EC1960" w:rsidP="00EC1960">
      <w:pPr>
        <w:pStyle w:val="ListParagraph"/>
        <w:rPr>
          <w:b/>
        </w:rPr>
      </w:pPr>
    </w:p>
    <w:p w:rsidR="000C44FE" w:rsidRDefault="00EC1960" w:rsidP="000C44FE">
      <w:pPr>
        <w:pStyle w:val="ListParagraph"/>
        <w:numPr>
          <w:ilvl w:val="0"/>
          <w:numId w:val="8"/>
        </w:numPr>
      </w:pPr>
      <w:r w:rsidRPr="00EC1960">
        <w:t xml:space="preserve">The Board agreed to share Serious Incident reports with patients or their families following a serious incident. </w:t>
      </w:r>
      <w:r>
        <w:t xml:space="preserve">It is often the case that SIs are carried out when a patient has died. </w:t>
      </w:r>
    </w:p>
    <w:p w:rsidR="00EC1960" w:rsidRDefault="00EC1960" w:rsidP="00EC1960">
      <w:pPr>
        <w:pStyle w:val="ListParagraph"/>
        <w:numPr>
          <w:ilvl w:val="0"/>
          <w:numId w:val="8"/>
        </w:numPr>
      </w:pPr>
      <w:r>
        <w:t>LAS Family Liaison Officers will support patients or their families in the process</w:t>
      </w:r>
    </w:p>
    <w:p w:rsidR="004527F9" w:rsidRDefault="004527F9" w:rsidP="00EC1960"/>
    <w:p w:rsidR="00EC1960" w:rsidRDefault="00EC1960" w:rsidP="00EC196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Pr="00EC1960">
        <w:rPr>
          <w:b/>
        </w:rPr>
        <w:t>LAS Maternity Lead</w:t>
      </w:r>
      <w:r>
        <w:rPr>
          <w:b/>
        </w:rPr>
        <w:t xml:space="preserve"> </w:t>
      </w:r>
    </w:p>
    <w:p w:rsidR="00EC1960" w:rsidRDefault="00EC1960" w:rsidP="00EC1960">
      <w:pPr>
        <w:pStyle w:val="ListParagraph"/>
        <w:rPr>
          <w:b/>
        </w:rPr>
      </w:pPr>
    </w:p>
    <w:p w:rsidR="00EC1960" w:rsidRDefault="00EC1960" w:rsidP="00EC1960">
      <w:pPr>
        <w:pStyle w:val="ListParagraph"/>
        <w:numPr>
          <w:ilvl w:val="0"/>
          <w:numId w:val="9"/>
        </w:numPr>
      </w:pPr>
      <w:r w:rsidRPr="00EC1960">
        <w:t>Amanda Mansfield has been appointed</w:t>
      </w:r>
    </w:p>
    <w:p w:rsidR="00EC1960" w:rsidRDefault="00EC1960" w:rsidP="00EC1960">
      <w:pPr>
        <w:pStyle w:val="ListParagraph"/>
        <w:ind w:left="1440"/>
      </w:pPr>
    </w:p>
    <w:p w:rsidR="00EC1960" w:rsidRDefault="00EC1960" w:rsidP="00EC196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Equality and Inclusion Strategy</w:t>
      </w:r>
    </w:p>
    <w:p w:rsidR="00EC1960" w:rsidRDefault="00EC1960" w:rsidP="00EC1960">
      <w:pPr>
        <w:pStyle w:val="ListParagraph"/>
        <w:rPr>
          <w:b/>
        </w:rPr>
      </w:pPr>
    </w:p>
    <w:p w:rsidR="009535A9" w:rsidRDefault="00EC1960" w:rsidP="009535A9">
      <w:pPr>
        <w:pStyle w:val="ListParagraph"/>
        <w:numPr>
          <w:ilvl w:val="0"/>
          <w:numId w:val="9"/>
        </w:numPr>
      </w:pPr>
      <w:r w:rsidRPr="00EC1960">
        <w:t>Fergus Cass, a Non-Executive Director</w:t>
      </w:r>
      <w:r>
        <w:t xml:space="preserve">, highlighted the low number of </w:t>
      </w:r>
      <w:r w:rsidR="009535A9">
        <w:t xml:space="preserve">black and ethnic monitory staff employed by the LAS. He said it was a very important issue and the LAS was not in a good place with respect to the employment of BME staff. He asked what more needed to be done and emphasized the need to intervene in </w:t>
      </w:r>
      <w:r w:rsidR="005C0648">
        <w:t>this issue</w:t>
      </w:r>
      <w:r w:rsidR="009535A9">
        <w:t xml:space="preserve"> positively.</w:t>
      </w:r>
    </w:p>
    <w:p w:rsidR="009535A9" w:rsidRDefault="009535A9" w:rsidP="009535A9">
      <w:pPr>
        <w:pStyle w:val="ListParagraph"/>
        <w:ind w:left="1440"/>
      </w:pPr>
    </w:p>
    <w:p w:rsidR="009535A9" w:rsidRDefault="009535A9" w:rsidP="009535A9">
      <w:pPr>
        <w:pStyle w:val="ListParagraph"/>
        <w:numPr>
          <w:ilvl w:val="0"/>
          <w:numId w:val="9"/>
        </w:numPr>
      </w:pPr>
      <w:r>
        <w:t>In response to a question from the Forum, it was reported that:</w:t>
      </w:r>
    </w:p>
    <w:p w:rsidR="009535A9" w:rsidRDefault="009535A9" w:rsidP="009535A9">
      <w:pPr>
        <w:pStyle w:val="ListParagraph"/>
      </w:pPr>
    </w:p>
    <w:p w:rsidR="009535A9" w:rsidRDefault="009535A9" w:rsidP="009535A9">
      <w:pPr>
        <w:pStyle w:val="ListParagraph"/>
        <w:ind w:left="1440"/>
      </w:pPr>
      <w:r>
        <w:t>In 2009/10 – 3.7% of paramedics were from a BME heritage (37 staff)</w:t>
      </w:r>
    </w:p>
    <w:p w:rsidR="009535A9" w:rsidRDefault="009535A9" w:rsidP="009535A9">
      <w:pPr>
        <w:pStyle w:val="ListParagraph"/>
        <w:ind w:left="1440"/>
      </w:pPr>
      <w:r>
        <w:t>In 2013/14 – 5.9% of paramedics were from a BME heritage (95 staff)</w:t>
      </w:r>
    </w:p>
    <w:p w:rsidR="009535A9" w:rsidRDefault="009535A9" w:rsidP="009535A9">
      <w:pPr>
        <w:pStyle w:val="ListParagraph"/>
        <w:ind w:left="1440"/>
      </w:pPr>
    </w:p>
    <w:p w:rsidR="009535A9" w:rsidRDefault="005C0648" w:rsidP="009535A9">
      <w:pPr>
        <w:pStyle w:val="ListParagraph"/>
        <w:numPr>
          <w:ilvl w:val="0"/>
          <w:numId w:val="9"/>
        </w:numPr>
      </w:pPr>
      <w:r>
        <w:t xml:space="preserve">Steve Lennox, Director of Nursing and Quality said that the LAS has limited resources to focus on this issue. </w:t>
      </w:r>
      <w:r w:rsidR="009535A9">
        <w:t xml:space="preserve">Therefore the main focus is on </w:t>
      </w:r>
      <w:r w:rsidR="00287CE7">
        <w:t>GLBT (Gay, lesbian, bisexual and transgender) groups covered by Stonewall.</w:t>
      </w:r>
    </w:p>
    <w:p w:rsidR="00B21AB8" w:rsidRDefault="00B21AB8" w:rsidP="00B21AB8"/>
    <w:p w:rsidR="00B21AB8" w:rsidRDefault="00B21AB8" w:rsidP="00B21AB8"/>
    <w:p w:rsidR="00B21AB8" w:rsidRDefault="00B21AB8" w:rsidP="00B21AB8"/>
    <w:p w:rsidR="00B21AB8" w:rsidRDefault="00B21AB8" w:rsidP="00B21AB8"/>
    <w:p w:rsidR="00B21AB8" w:rsidRDefault="00B21AB8" w:rsidP="00B21AB8"/>
    <w:p w:rsidR="00287CE7" w:rsidRDefault="00287CE7" w:rsidP="009535A9">
      <w:pPr>
        <w:pStyle w:val="ListParagraph"/>
        <w:numPr>
          <w:ilvl w:val="0"/>
          <w:numId w:val="9"/>
        </w:numPr>
      </w:pPr>
      <w:r>
        <w:t xml:space="preserve">The LAS is </w:t>
      </w:r>
      <w:r w:rsidR="008C1804">
        <w:t>6</w:t>
      </w:r>
      <w:r w:rsidR="008C1804" w:rsidRPr="008C1804">
        <w:rPr>
          <w:vertAlign w:val="superscript"/>
        </w:rPr>
        <w:t>th</w:t>
      </w:r>
      <w:r w:rsidR="008C1804">
        <w:t xml:space="preserve"> in the national Stonewall Health Equality Index for 2014</w:t>
      </w:r>
    </w:p>
    <w:p w:rsidR="008C1804" w:rsidRDefault="008C1804" w:rsidP="008C1804">
      <w:pPr>
        <w:pStyle w:val="ListParagraph"/>
        <w:ind w:left="1440"/>
      </w:pPr>
    </w:p>
    <w:p w:rsidR="008C1804" w:rsidRPr="008C1804" w:rsidRDefault="005C0648" w:rsidP="009D68F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</w:pPr>
      <w:r>
        <w:t>1.</w:t>
      </w:r>
      <w:r w:rsidRPr="008C1804">
        <w:t xml:space="preserve"> Central</w:t>
      </w:r>
      <w:r w:rsidR="008C1804" w:rsidRPr="008C1804">
        <w:t xml:space="preserve"> and North West London NHS Foundation Trust</w:t>
      </w:r>
    </w:p>
    <w:p w:rsidR="008C1804" w:rsidRPr="008C1804" w:rsidRDefault="008C1804" w:rsidP="009D68F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</w:pPr>
      <w:r w:rsidRPr="008C1804">
        <w:t>2. Sussex Partnership NHS Foundation Trust </w:t>
      </w:r>
    </w:p>
    <w:p w:rsidR="008C1804" w:rsidRPr="008C1804" w:rsidRDefault="008C1804" w:rsidP="009D68F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</w:pPr>
      <w:r w:rsidRPr="008C1804">
        <w:t>3. St. Andrew's Healthcare </w:t>
      </w:r>
    </w:p>
    <w:p w:rsidR="008C1804" w:rsidRPr="008C1804" w:rsidRDefault="008C1804" w:rsidP="009D68F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</w:pPr>
      <w:r w:rsidRPr="008C1804">
        <w:t>4. Liverpool Community Health NHS Trust </w:t>
      </w:r>
    </w:p>
    <w:p w:rsidR="008C1804" w:rsidRDefault="008C1804" w:rsidP="009D68F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</w:pPr>
      <w:r w:rsidRPr="008C1804">
        <w:t>5. County Durham and Darlington NHS Foundation Trust </w:t>
      </w:r>
    </w:p>
    <w:p w:rsidR="008C1804" w:rsidRPr="009D68FB" w:rsidRDefault="005C0648" w:rsidP="009D68F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b/>
        </w:rPr>
      </w:pPr>
      <w:r w:rsidRPr="009D68FB">
        <w:rPr>
          <w:b/>
        </w:rPr>
        <w:t>6. London</w:t>
      </w:r>
      <w:r w:rsidR="008C1804" w:rsidRPr="009D68FB">
        <w:rPr>
          <w:b/>
        </w:rPr>
        <w:t xml:space="preserve"> Ambulance Service NHS Trust </w:t>
      </w:r>
    </w:p>
    <w:p w:rsidR="008C1804" w:rsidRPr="008C1804" w:rsidRDefault="008C1804" w:rsidP="009D68F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</w:pPr>
      <w:r w:rsidRPr="008C1804">
        <w:t>7. Leeds Community Healthcare NHS Trust </w:t>
      </w:r>
    </w:p>
    <w:p w:rsidR="008C1804" w:rsidRPr="008C1804" w:rsidRDefault="008C1804" w:rsidP="009D68F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</w:pPr>
      <w:r>
        <w:t xml:space="preserve">8. </w:t>
      </w:r>
      <w:r w:rsidRPr="008C1804">
        <w:t>Royal Liverpool and Broadgreen University Hospitals NHS Trust</w:t>
      </w:r>
    </w:p>
    <w:p w:rsidR="008C1804" w:rsidRPr="008C1804" w:rsidRDefault="008C1804" w:rsidP="009D68F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</w:pPr>
      <w:r w:rsidRPr="008C1804">
        <w:t>9. Central London Community Healthcare NHS Trust </w:t>
      </w:r>
    </w:p>
    <w:p w:rsidR="008C1804" w:rsidRDefault="008C1804" w:rsidP="009D68F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</w:pPr>
      <w:r w:rsidRPr="008C1804">
        <w:t>10</w:t>
      </w:r>
      <w:r w:rsidR="005C0648" w:rsidRPr="008C1804">
        <w:t>. Brighton</w:t>
      </w:r>
      <w:r w:rsidRPr="008C1804">
        <w:t xml:space="preserve"> and Sussex University Hospitals NHS Trust </w:t>
      </w:r>
    </w:p>
    <w:p w:rsidR="008C1804" w:rsidRPr="008C1804" w:rsidRDefault="008C1804" w:rsidP="009D68FB">
      <w:pPr>
        <w:pStyle w:val="NoSpacing"/>
      </w:pPr>
    </w:p>
    <w:p w:rsidR="00613F33" w:rsidRDefault="008C1804" w:rsidP="00613F33">
      <w:r>
        <w:t>Ann Radmore, the LAS Chief Executive said</w:t>
      </w:r>
      <w:r w:rsidR="00613F33">
        <w:t>:</w:t>
      </w:r>
    </w:p>
    <w:p w:rsidR="00613F33" w:rsidRDefault="00613F33" w:rsidP="00613F33"/>
    <w:p w:rsidR="00613F33" w:rsidRDefault="00613F33" w:rsidP="00613F33">
      <w:pPr>
        <w:pStyle w:val="ListParagraph"/>
        <w:numPr>
          <w:ilvl w:val="0"/>
          <w:numId w:val="9"/>
        </w:numPr>
      </w:pPr>
      <w:r>
        <w:t>The LAS may not be satisfying the duties required by the Equalities Act 2010.</w:t>
      </w:r>
    </w:p>
    <w:p w:rsidR="00613F33" w:rsidRDefault="00613F33" w:rsidP="00613F33">
      <w:pPr>
        <w:pStyle w:val="ListParagraph"/>
        <w:numPr>
          <w:ilvl w:val="0"/>
          <w:numId w:val="9"/>
        </w:numPr>
      </w:pPr>
      <w:r>
        <w:t>That a 1/3 of paramedic staff do not live in London therefore the duty to comply with the Equalities Act is relaxed.</w:t>
      </w:r>
    </w:p>
    <w:p w:rsidR="008C1804" w:rsidRDefault="008C1804" w:rsidP="008C1804">
      <w:pPr>
        <w:pStyle w:val="ListParagraph"/>
        <w:numPr>
          <w:ilvl w:val="0"/>
          <w:numId w:val="9"/>
        </w:numPr>
      </w:pPr>
      <w:r>
        <w:t>The duty is not relevant to staff who do not live in London</w:t>
      </w:r>
      <w:r w:rsidR="00613F33">
        <w:t>.</w:t>
      </w:r>
    </w:p>
    <w:p w:rsidR="008C1804" w:rsidRDefault="008C1804" w:rsidP="008C1804">
      <w:pPr>
        <w:pStyle w:val="ListParagraph"/>
        <w:numPr>
          <w:ilvl w:val="0"/>
          <w:numId w:val="9"/>
        </w:numPr>
      </w:pPr>
      <w:r>
        <w:t>LAS processes have been found adequate by Stonewall</w:t>
      </w:r>
      <w:r w:rsidR="00613F33">
        <w:t>.</w:t>
      </w:r>
    </w:p>
    <w:p w:rsidR="008C1804" w:rsidRDefault="008C1804" w:rsidP="008C1804">
      <w:pPr>
        <w:pStyle w:val="ListParagraph"/>
        <w:numPr>
          <w:ilvl w:val="0"/>
          <w:numId w:val="9"/>
        </w:numPr>
      </w:pPr>
      <w:r>
        <w:t xml:space="preserve">A study by Warwick University is looking at diversity in ambulance services. </w:t>
      </w:r>
      <w:r w:rsidR="00613F33">
        <w:t>Ann said t</w:t>
      </w:r>
      <w:r>
        <w:t xml:space="preserve">his is the first time </w:t>
      </w:r>
      <w:r w:rsidR="006A4DBF">
        <w:t>research has be</w:t>
      </w:r>
      <w:r w:rsidR="001F4A47">
        <w:t>en carried out into this issue (actually there have been other studies)</w:t>
      </w:r>
      <w:r w:rsidR="00613F33">
        <w:t>.</w:t>
      </w:r>
    </w:p>
    <w:p w:rsidR="006A4DBF" w:rsidRDefault="006A4DBF" w:rsidP="008C1804">
      <w:pPr>
        <w:pStyle w:val="ListParagraph"/>
        <w:numPr>
          <w:ilvl w:val="0"/>
          <w:numId w:val="9"/>
        </w:numPr>
      </w:pPr>
      <w:r>
        <w:t>The LAS will look more closely at its</w:t>
      </w:r>
      <w:r w:rsidR="00613F33">
        <w:t xml:space="preserve"> paramedic staff</w:t>
      </w:r>
      <w:r>
        <w:t xml:space="preserve"> advertising methods.</w:t>
      </w:r>
    </w:p>
    <w:p w:rsidR="006A4DBF" w:rsidRDefault="006A4DBF" w:rsidP="008C1804">
      <w:pPr>
        <w:pStyle w:val="ListParagraph"/>
        <w:numPr>
          <w:ilvl w:val="0"/>
          <w:numId w:val="9"/>
        </w:numPr>
      </w:pPr>
      <w:r>
        <w:t xml:space="preserve">The LAS </w:t>
      </w:r>
      <w:r w:rsidR="005C0648">
        <w:t>emphasis</w:t>
      </w:r>
      <w:r w:rsidR="00613F33">
        <w:t xml:space="preserve"> in relation to equalities</w:t>
      </w:r>
      <w:r w:rsidR="005C0648">
        <w:t xml:space="preserve"> is</w:t>
      </w:r>
      <w:r>
        <w:t xml:space="preserve"> shifting away from staff and towards patients.</w:t>
      </w:r>
    </w:p>
    <w:p w:rsidR="00613F33" w:rsidRDefault="00613F33" w:rsidP="00613F33">
      <w:pPr>
        <w:pStyle w:val="ListParagraph"/>
        <w:ind w:left="1440"/>
      </w:pPr>
    </w:p>
    <w:p w:rsidR="006A4DBF" w:rsidRDefault="006A4DBF" w:rsidP="00613F33">
      <w:r>
        <w:t>Richard Hunt the LAS Chair, added that the issue of diversity is also being examined in relation to the composition of the LAS board.</w:t>
      </w:r>
    </w:p>
    <w:p w:rsidR="00613F33" w:rsidRDefault="00613F33" w:rsidP="00613F33"/>
    <w:p w:rsidR="00613F33" w:rsidRDefault="00613F33" w:rsidP="00613F33"/>
    <w:p w:rsidR="00613F33" w:rsidRPr="00EC1960" w:rsidRDefault="00613F33" w:rsidP="00613F33">
      <w:r>
        <w:t>End - MA</w:t>
      </w:r>
    </w:p>
    <w:sectPr w:rsidR="00613F33" w:rsidRPr="00EC1960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EDB" w:rsidRDefault="009F3EDB" w:rsidP="005C0648">
      <w:r>
        <w:separator/>
      </w:r>
    </w:p>
  </w:endnote>
  <w:endnote w:type="continuationSeparator" w:id="0">
    <w:p w:rsidR="009F3EDB" w:rsidRDefault="009F3EDB" w:rsidP="005C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EDB" w:rsidRDefault="009F3EDB" w:rsidP="005C0648">
      <w:r>
        <w:separator/>
      </w:r>
    </w:p>
  </w:footnote>
  <w:footnote w:type="continuationSeparator" w:id="0">
    <w:p w:rsidR="009F3EDB" w:rsidRDefault="009F3EDB" w:rsidP="005C06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8111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C0648" w:rsidRDefault="005C064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9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0648" w:rsidRDefault="005C064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0637"/>
    <w:multiLevelType w:val="hybridMultilevel"/>
    <w:tmpl w:val="AEEE56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95053"/>
    <w:multiLevelType w:val="hybridMultilevel"/>
    <w:tmpl w:val="854677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1B7CF4"/>
    <w:multiLevelType w:val="hybridMultilevel"/>
    <w:tmpl w:val="F4F4D6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DF099E"/>
    <w:multiLevelType w:val="hybridMultilevel"/>
    <w:tmpl w:val="35ECE7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39127B"/>
    <w:multiLevelType w:val="hybridMultilevel"/>
    <w:tmpl w:val="677C80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3536B5"/>
    <w:multiLevelType w:val="hybridMultilevel"/>
    <w:tmpl w:val="1BF62E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1C3DA1"/>
    <w:multiLevelType w:val="hybridMultilevel"/>
    <w:tmpl w:val="FEBE5D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4571F3"/>
    <w:multiLevelType w:val="hybridMultilevel"/>
    <w:tmpl w:val="B0E6D6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D43A58"/>
    <w:multiLevelType w:val="hybridMultilevel"/>
    <w:tmpl w:val="C4A6C4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0608F5"/>
    <w:multiLevelType w:val="hybridMultilevel"/>
    <w:tmpl w:val="BDA6FA5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CDE18FE"/>
    <w:multiLevelType w:val="hybridMultilevel"/>
    <w:tmpl w:val="FF366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F223630"/>
    <w:multiLevelType w:val="hybridMultilevel"/>
    <w:tmpl w:val="0602ECFA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0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A5"/>
    <w:rsid w:val="000C44FE"/>
    <w:rsid w:val="001F4A47"/>
    <w:rsid w:val="00287CE7"/>
    <w:rsid w:val="002F4BA5"/>
    <w:rsid w:val="004527F9"/>
    <w:rsid w:val="00502915"/>
    <w:rsid w:val="005C0648"/>
    <w:rsid w:val="00613F33"/>
    <w:rsid w:val="006A4DBF"/>
    <w:rsid w:val="00722A6A"/>
    <w:rsid w:val="0073338D"/>
    <w:rsid w:val="008C1804"/>
    <w:rsid w:val="00910F8B"/>
    <w:rsid w:val="00930B31"/>
    <w:rsid w:val="009535A9"/>
    <w:rsid w:val="009B0B4A"/>
    <w:rsid w:val="009C7C48"/>
    <w:rsid w:val="009D68FB"/>
    <w:rsid w:val="009F3EDB"/>
    <w:rsid w:val="00A466FB"/>
    <w:rsid w:val="00B21AB8"/>
    <w:rsid w:val="00D7397C"/>
    <w:rsid w:val="00EC1960"/>
    <w:rsid w:val="00F40641"/>
    <w:rsid w:val="00FB1590"/>
    <w:rsid w:val="00FE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5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4FE"/>
    <w:rPr>
      <w:color w:val="0000FF"/>
      <w:u w:val="single"/>
    </w:rPr>
  </w:style>
  <w:style w:type="paragraph" w:styleId="NoSpacing">
    <w:name w:val="No Spacing"/>
    <w:uiPriority w:val="1"/>
    <w:qFormat/>
    <w:rsid w:val="008C1804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5C06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648"/>
    <w:rPr>
      <w:sz w:val="24"/>
      <w:szCs w:val="24"/>
    </w:rPr>
  </w:style>
  <w:style w:type="paragraph" w:styleId="Footer">
    <w:name w:val="footer"/>
    <w:basedOn w:val="Normal"/>
    <w:link w:val="FooterChar"/>
    <w:rsid w:val="005C06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C06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5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4FE"/>
    <w:rPr>
      <w:color w:val="0000FF"/>
      <w:u w:val="single"/>
    </w:rPr>
  </w:style>
  <w:style w:type="paragraph" w:styleId="NoSpacing">
    <w:name w:val="No Spacing"/>
    <w:uiPriority w:val="1"/>
    <w:qFormat/>
    <w:rsid w:val="008C1804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5C06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648"/>
    <w:rPr>
      <w:sz w:val="24"/>
      <w:szCs w:val="24"/>
    </w:rPr>
  </w:style>
  <w:style w:type="paragraph" w:styleId="Footer">
    <w:name w:val="footer"/>
    <w:basedOn w:val="Normal"/>
    <w:link w:val="FooterChar"/>
    <w:rsid w:val="005C06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C06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27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5564">
                          <w:marLeft w:val="450"/>
                          <w:marRight w:val="4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9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9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3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02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69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06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mj.com/content/348/bmj.g3175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994</Words>
  <Characters>5672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Polly Healy</cp:lastModifiedBy>
  <cp:revision>2</cp:revision>
  <dcterms:created xsi:type="dcterms:W3CDTF">2014-10-12T12:24:00Z</dcterms:created>
  <dcterms:modified xsi:type="dcterms:W3CDTF">2014-10-12T12:24:00Z</dcterms:modified>
</cp:coreProperties>
</file>